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AFA6" w14:textId="77777777" w:rsidR="004066B1" w:rsidRDefault="00953315">
      <w:pPr>
        <w:spacing w:after="0" w:line="259" w:lineRule="auto"/>
        <w:ind w:left="240" w:right="0" w:firstLine="0"/>
      </w:pPr>
      <w:bookmarkStart w:id="0" w:name="_GoBack"/>
      <w:bookmarkEnd w:id="0"/>
      <w:r>
        <w:rPr>
          <w:sz w:val="52"/>
        </w:rPr>
        <w:t>Totalseq analysis</w:t>
      </w:r>
      <w:r w:rsidR="00CF09B5">
        <w:rPr>
          <w:sz w:val="52"/>
        </w:rPr>
        <w:t xml:space="preserve"> Pipeline – User Guide </w:t>
      </w:r>
    </w:p>
    <w:sdt>
      <w:sdtPr>
        <w:rPr>
          <w:rFonts w:ascii="Arial" w:eastAsia="Arial" w:hAnsi="Arial" w:cs="Arial"/>
          <w:color w:val="000000"/>
          <w:sz w:val="22"/>
          <w:szCs w:val="22"/>
        </w:rPr>
        <w:id w:val="-1711911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EE6C9D" w14:textId="77777777" w:rsidR="00460A68" w:rsidRDefault="00460A68">
          <w:pPr>
            <w:pStyle w:val="TOCHeading"/>
          </w:pPr>
          <w:r>
            <w:t>Contents</w:t>
          </w:r>
        </w:p>
        <w:p w14:paraId="3DCC7E80" w14:textId="0A3DD7C2" w:rsidR="00915C5D" w:rsidRDefault="00460A68">
          <w:pPr>
            <w:pStyle w:val="TOC1"/>
            <w:tabs>
              <w:tab w:val="right" w:leader="dot" w:pos="947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627403" w:history="1">
            <w:r w:rsidR="00915C5D" w:rsidRPr="00727EBA">
              <w:rPr>
                <w:rStyle w:val="Hyperlink"/>
                <w:noProof/>
              </w:rPr>
              <w:t>Summary</w:t>
            </w:r>
            <w:r w:rsidR="00915C5D">
              <w:rPr>
                <w:noProof/>
                <w:webHidden/>
              </w:rPr>
              <w:tab/>
            </w:r>
            <w:r w:rsidR="00915C5D">
              <w:rPr>
                <w:noProof/>
                <w:webHidden/>
              </w:rPr>
              <w:fldChar w:fldCharType="begin"/>
            </w:r>
            <w:r w:rsidR="00915C5D">
              <w:rPr>
                <w:noProof/>
                <w:webHidden/>
              </w:rPr>
              <w:instrText xml:space="preserve"> PAGEREF _Toc106627403 \h </w:instrText>
            </w:r>
            <w:r w:rsidR="00915C5D">
              <w:rPr>
                <w:noProof/>
                <w:webHidden/>
              </w:rPr>
            </w:r>
            <w:r w:rsidR="00915C5D">
              <w:rPr>
                <w:noProof/>
                <w:webHidden/>
              </w:rPr>
              <w:fldChar w:fldCharType="separate"/>
            </w:r>
            <w:r w:rsidR="00915C5D">
              <w:rPr>
                <w:noProof/>
                <w:webHidden/>
              </w:rPr>
              <w:t>1</w:t>
            </w:r>
            <w:r w:rsidR="00915C5D">
              <w:rPr>
                <w:noProof/>
                <w:webHidden/>
              </w:rPr>
              <w:fldChar w:fldCharType="end"/>
            </w:r>
          </w:hyperlink>
        </w:p>
        <w:p w14:paraId="691DCB6A" w14:textId="469194E0" w:rsidR="00915C5D" w:rsidRDefault="00C067CE">
          <w:pPr>
            <w:pStyle w:val="TOC1"/>
            <w:tabs>
              <w:tab w:val="right" w:leader="dot" w:pos="947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06627404" w:history="1">
            <w:r w:rsidR="00915C5D" w:rsidRPr="00727EBA">
              <w:rPr>
                <w:rStyle w:val="Hyperlink"/>
                <w:noProof/>
              </w:rPr>
              <w:t>Hardware requirements</w:t>
            </w:r>
            <w:r w:rsidR="00915C5D">
              <w:rPr>
                <w:noProof/>
                <w:webHidden/>
              </w:rPr>
              <w:tab/>
            </w:r>
            <w:r w:rsidR="00915C5D">
              <w:rPr>
                <w:noProof/>
                <w:webHidden/>
              </w:rPr>
              <w:fldChar w:fldCharType="begin"/>
            </w:r>
            <w:r w:rsidR="00915C5D">
              <w:rPr>
                <w:noProof/>
                <w:webHidden/>
              </w:rPr>
              <w:instrText xml:space="preserve"> PAGEREF _Toc106627404 \h </w:instrText>
            </w:r>
            <w:r w:rsidR="00915C5D">
              <w:rPr>
                <w:noProof/>
                <w:webHidden/>
              </w:rPr>
            </w:r>
            <w:r w:rsidR="00915C5D">
              <w:rPr>
                <w:noProof/>
                <w:webHidden/>
              </w:rPr>
              <w:fldChar w:fldCharType="separate"/>
            </w:r>
            <w:r w:rsidR="00915C5D">
              <w:rPr>
                <w:noProof/>
                <w:webHidden/>
              </w:rPr>
              <w:t>1</w:t>
            </w:r>
            <w:r w:rsidR="00915C5D">
              <w:rPr>
                <w:noProof/>
                <w:webHidden/>
              </w:rPr>
              <w:fldChar w:fldCharType="end"/>
            </w:r>
          </w:hyperlink>
        </w:p>
        <w:p w14:paraId="37119652" w14:textId="43B9D677" w:rsidR="00915C5D" w:rsidRDefault="00C067CE">
          <w:pPr>
            <w:pStyle w:val="TOC1"/>
            <w:tabs>
              <w:tab w:val="right" w:leader="dot" w:pos="947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06627405" w:history="1">
            <w:r w:rsidR="00915C5D" w:rsidRPr="00727EBA">
              <w:rPr>
                <w:rStyle w:val="Hyperlink"/>
                <w:noProof/>
              </w:rPr>
              <w:t>Software requirements</w:t>
            </w:r>
            <w:r w:rsidR="00915C5D">
              <w:rPr>
                <w:noProof/>
                <w:webHidden/>
              </w:rPr>
              <w:tab/>
            </w:r>
            <w:r w:rsidR="00915C5D">
              <w:rPr>
                <w:noProof/>
                <w:webHidden/>
              </w:rPr>
              <w:fldChar w:fldCharType="begin"/>
            </w:r>
            <w:r w:rsidR="00915C5D">
              <w:rPr>
                <w:noProof/>
                <w:webHidden/>
              </w:rPr>
              <w:instrText xml:space="preserve"> PAGEREF _Toc106627405 \h </w:instrText>
            </w:r>
            <w:r w:rsidR="00915C5D">
              <w:rPr>
                <w:noProof/>
                <w:webHidden/>
              </w:rPr>
            </w:r>
            <w:r w:rsidR="00915C5D">
              <w:rPr>
                <w:noProof/>
                <w:webHidden/>
              </w:rPr>
              <w:fldChar w:fldCharType="separate"/>
            </w:r>
            <w:r w:rsidR="00915C5D">
              <w:rPr>
                <w:noProof/>
                <w:webHidden/>
              </w:rPr>
              <w:t>1</w:t>
            </w:r>
            <w:r w:rsidR="00915C5D">
              <w:rPr>
                <w:noProof/>
                <w:webHidden/>
              </w:rPr>
              <w:fldChar w:fldCharType="end"/>
            </w:r>
          </w:hyperlink>
        </w:p>
        <w:p w14:paraId="38C0A873" w14:textId="1C9D0613" w:rsidR="00915C5D" w:rsidRDefault="00C067CE">
          <w:pPr>
            <w:pStyle w:val="TOC2"/>
            <w:tabs>
              <w:tab w:val="right" w:leader="dot" w:pos="947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06627406" w:history="1">
            <w:r w:rsidR="00915C5D" w:rsidRPr="00727EBA">
              <w:rPr>
                <w:rStyle w:val="Hyperlink"/>
                <w:noProof/>
              </w:rPr>
              <w:t>Supported operating systems</w:t>
            </w:r>
            <w:r w:rsidR="00915C5D">
              <w:rPr>
                <w:noProof/>
                <w:webHidden/>
              </w:rPr>
              <w:tab/>
            </w:r>
            <w:r w:rsidR="00915C5D">
              <w:rPr>
                <w:noProof/>
                <w:webHidden/>
              </w:rPr>
              <w:fldChar w:fldCharType="begin"/>
            </w:r>
            <w:r w:rsidR="00915C5D">
              <w:rPr>
                <w:noProof/>
                <w:webHidden/>
              </w:rPr>
              <w:instrText xml:space="preserve"> PAGEREF _Toc106627406 \h </w:instrText>
            </w:r>
            <w:r w:rsidR="00915C5D">
              <w:rPr>
                <w:noProof/>
                <w:webHidden/>
              </w:rPr>
            </w:r>
            <w:r w:rsidR="00915C5D">
              <w:rPr>
                <w:noProof/>
                <w:webHidden/>
              </w:rPr>
              <w:fldChar w:fldCharType="separate"/>
            </w:r>
            <w:r w:rsidR="00915C5D">
              <w:rPr>
                <w:noProof/>
                <w:webHidden/>
              </w:rPr>
              <w:t>1</w:t>
            </w:r>
            <w:r w:rsidR="00915C5D">
              <w:rPr>
                <w:noProof/>
                <w:webHidden/>
              </w:rPr>
              <w:fldChar w:fldCharType="end"/>
            </w:r>
          </w:hyperlink>
        </w:p>
        <w:p w14:paraId="520B0364" w14:textId="73F3162F" w:rsidR="00915C5D" w:rsidRDefault="00C067CE">
          <w:pPr>
            <w:pStyle w:val="TOC1"/>
            <w:tabs>
              <w:tab w:val="right" w:leader="dot" w:pos="947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06627407" w:history="1">
            <w:r w:rsidR="00915C5D" w:rsidRPr="00727EBA">
              <w:rPr>
                <w:rStyle w:val="Hyperlink"/>
                <w:noProof/>
              </w:rPr>
              <w:t>Running the Pipeline</w:t>
            </w:r>
            <w:r w:rsidR="00915C5D">
              <w:rPr>
                <w:noProof/>
                <w:webHidden/>
              </w:rPr>
              <w:tab/>
            </w:r>
            <w:r w:rsidR="00915C5D">
              <w:rPr>
                <w:noProof/>
                <w:webHidden/>
              </w:rPr>
              <w:fldChar w:fldCharType="begin"/>
            </w:r>
            <w:r w:rsidR="00915C5D">
              <w:rPr>
                <w:noProof/>
                <w:webHidden/>
              </w:rPr>
              <w:instrText xml:space="preserve"> PAGEREF _Toc106627407 \h </w:instrText>
            </w:r>
            <w:r w:rsidR="00915C5D">
              <w:rPr>
                <w:noProof/>
                <w:webHidden/>
              </w:rPr>
            </w:r>
            <w:r w:rsidR="00915C5D">
              <w:rPr>
                <w:noProof/>
                <w:webHidden/>
              </w:rPr>
              <w:fldChar w:fldCharType="separate"/>
            </w:r>
            <w:r w:rsidR="00915C5D">
              <w:rPr>
                <w:noProof/>
                <w:webHidden/>
              </w:rPr>
              <w:t>2</w:t>
            </w:r>
            <w:r w:rsidR="00915C5D">
              <w:rPr>
                <w:noProof/>
                <w:webHidden/>
              </w:rPr>
              <w:fldChar w:fldCharType="end"/>
            </w:r>
          </w:hyperlink>
        </w:p>
        <w:p w14:paraId="0B8DF556" w14:textId="48DB3917" w:rsidR="00915C5D" w:rsidRDefault="00C067CE">
          <w:pPr>
            <w:pStyle w:val="TOC2"/>
            <w:tabs>
              <w:tab w:val="right" w:leader="dot" w:pos="947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06627408" w:history="1">
            <w:r w:rsidR="00915C5D" w:rsidRPr="00727EBA">
              <w:rPr>
                <w:rStyle w:val="Hyperlink"/>
                <w:noProof/>
              </w:rPr>
              <w:t>Running the Pipeline</w:t>
            </w:r>
            <w:r w:rsidR="00915C5D">
              <w:rPr>
                <w:noProof/>
                <w:webHidden/>
              </w:rPr>
              <w:tab/>
            </w:r>
            <w:r w:rsidR="00915C5D">
              <w:rPr>
                <w:noProof/>
                <w:webHidden/>
              </w:rPr>
              <w:fldChar w:fldCharType="begin"/>
            </w:r>
            <w:r w:rsidR="00915C5D">
              <w:rPr>
                <w:noProof/>
                <w:webHidden/>
              </w:rPr>
              <w:instrText xml:space="preserve"> PAGEREF _Toc106627408 \h </w:instrText>
            </w:r>
            <w:r w:rsidR="00915C5D">
              <w:rPr>
                <w:noProof/>
                <w:webHidden/>
              </w:rPr>
            </w:r>
            <w:r w:rsidR="00915C5D">
              <w:rPr>
                <w:noProof/>
                <w:webHidden/>
              </w:rPr>
              <w:fldChar w:fldCharType="separate"/>
            </w:r>
            <w:r w:rsidR="00915C5D">
              <w:rPr>
                <w:noProof/>
                <w:webHidden/>
              </w:rPr>
              <w:t>2</w:t>
            </w:r>
            <w:r w:rsidR="00915C5D">
              <w:rPr>
                <w:noProof/>
                <w:webHidden/>
              </w:rPr>
              <w:fldChar w:fldCharType="end"/>
            </w:r>
          </w:hyperlink>
        </w:p>
        <w:p w14:paraId="6009AE32" w14:textId="673F1D04" w:rsidR="00915C5D" w:rsidRDefault="00C067CE">
          <w:pPr>
            <w:pStyle w:val="TOC3"/>
            <w:tabs>
              <w:tab w:val="right" w:leader="dot" w:pos="947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06627409" w:history="1">
            <w:r w:rsidR="00915C5D" w:rsidRPr="00727EBA">
              <w:rPr>
                <w:rStyle w:val="Hyperlink"/>
                <w:noProof/>
              </w:rPr>
              <w:t>Pipeline output</w:t>
            </w:r>
            <w:r w:rsidR="00915C5D">
              <w:rPr>
                <w:noProof/>
                <w:webHidden/>
              </w:rPr>
              <w:tab/>
            </w:r>
            <w:r w:rsidR="00915C5D">
              <w:rPr>
                <w:noProof/>
                <w:webHidden/>
              </w:rPr>
              <w:fldChar w:fldCharType="begin"/>
            </w:r>
            <w:r w:rsidR="00915C5D">
              <w:rPr>
                <w:noProof/>
                <w:webHidden/>
              </w:rPr>
              <w:instrText xml:space="preserve"> PAGEREF _Toc106627409 \h </w:instrText>
            </w:r>
            <w:r w:rsidR="00915C5D">
              <w:rPr>
                <w:noProof/>
                <w:webHidden/>
              </w:rPr>
            </w:r>
            <w:r w:rsidR="00915C5D">
              <w:rPr>
                <w:noProof/>
                <w:webHidden/>
              </w:rPr>
              <w:fldChar w:fldCharType="separate"/>
            </w:r>
            <w:r w:rsidR="00915C5D">
              <w:rPr>
                <w:noProof/>
                <w:webHidden/>
              </w:rPr>
              <w:t>3</w:t>
            </w:r>
            <w:r w:rsidR="00915C5D">
              <w:rPr>
                <w:noProof/>
                <w:webHidden/>
              </w:rPr>
              <w:fldChar w:fldCharType="end"/>
            </w:r>
          </w:hyperlink>
        </w:p>
        <w:p w14:paraId="6E6C98B7" w14:textId="733404A5" w:rsidR="00915C5D" w:rsidRDefault="00C067CE">
          <w:pPr>
            <w:pStyle w:val="TOC3"/>
            <w:tabs>
              <w:tab w:val="right" w:leader="dot" w:pos="947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06627410" w:history="1">
            <w:r w:rsidR="00915C5D" w:rsidRPr="00727EBA">
              <w:rPr>
                <w:rStyle w:val="Hyperlink"/>
                <w:noProof/>
              </w:rPr>
              <w:t>Downstream Analyses</w:t>
            </w:r>
            <w:r w:rsidR="00915C5D">
              <w:rPr>
                <w:noProof/>
                <w:webHidden/>
              </w:rPr>
              <w:tab/>
            </w:r>
            <w:r w:rsidR="00915C5D">
              <w:rPr>
                <w:noProof/>
                <w:webHidden/>
              </w:rPr>
              <w:fldChar w:fldCharType="begin"/>
            </w:r>
            <w:r w:rsidR="00915C5D">
              <w:rPr>
                <w:noProof/>
                <w:webHidden/>
              </w:rPr>
              <w:instrText xml:space="preserve"> PAGEREF _Toc106627410 \h </w:instrText>
            </w:r>
            <w:r w:rsidR="00915C5D">
              <w:rPr>
                <w:noProof/>
                <w:webHidden/>
              </w:rPr>
            </w:r>
            <w:r w:rsidR="00915C5D">
              <w:rPr>
                <w:noProof/>
                <w:webHidden/>
              </w:rPr>
              <w:fldChar w:fldCharType="separate"/>
            </w:r>
            <w:r w:rsidR="00915C5D">
              <w:rPr>
                <w:noProof/>
                <w:webHidden/>
              </w:rPr>
              <w:t>3</w:t>
            </w:r>
            <w:r w:rsidR="00915C5D">
              <w:rPr>
                <w:noProof/>
                <w:webHidden/>
              </w:rPr>
              <w:fldChar w:fldCharType="end"/>
            </w:r>
          </w:hyperlink>
        </w:p>
        <w:p w14:paraId="1A003474" w14:textId="538F5C15" w:rsidR="00460A68" w:rsidRDefault="00460A68">
          <w:r>
            <w:rPr>
              <w:b/>
              <w:bCs/>
              <w:noProof/>
            </w:rPr>
            <w:fldChar w:fldCharType="end"/>
          </w:r>
        </w:p>
      </w:sdtContent>
    </w:sdt>
    <w:p w14:paraId="14E9041C" w14:textId="77777777" w:rsidR="00460A68" w:rsidRDefault="00460A68" w:rsidP="00460A68"/>
    <w:p w14:paraId="4A4F61F7" w14:textId="77777777" w:rsidR="004066B1" w:rsidRDefault="00CF09B5">
      <w:pPr>
        <w:pStyle w:val="Heading1"/>
        <w:ind w:left="-5"/>
      </w:pPr>
      <w:bookmarkStart w:id="1" w:name="_Toc106627403"/>
      <w:r>
        <w:t>Summary</w:t>
      </w:r>
      <w:bookmarkEnd w:id="1"/>
      <w:r>
        <w:t xml:space="preserve"> </w:t>
      </w:r>
    </w:p>
    <w:p w14:paraId="626E189F" w14:textId="77777777" w:rsidR="004066B1" w:rsidRDefault="00CF09B5">
      <w:pPr>
        <w:ind w:left="-5" w:right="121"/>
      </w:pPr>
      <w:r>
        <w:t xml:space="preserve">This document describes requirements and instructions for installing and running </w:t>
      </w:r>
      <w:r w:rsidR="00953315">
        <w:t>Totalseq analysis</w:t>
      </w:r>
      <w:r>
        <w:t xml:space="preserve"> Pipeline on a Linux server. </w:t>
      </w:r>
    </w:p>
    <w:p w14:paraId="34B36813" w14:textId="77777777" w:rsidR="004066B1" w:rsidRDefault="00CF09B5">
      <w:pPr>
        <w:spacing w:after="70" w:line="259" w:lineRule="auto"/>
        <w:ind w:left="0" w:right="0" w:firstLine="0"/>
      </w:pPr>
      <w:r>
        <w:t xml:space="preserve"> </w:t>
      </w:r>
    </w:p>
    <w:p w14:paraId="61AC7259" w14:textId="77777777" w:rsidR="004066B1" w:rsidRDefault="00CF09B5">
      <w:pPr>
        <w:pStyle w:val="Heading1"/>
        <w:ind w:left="-5"/>
      </w:pPr>
      <w:bookmarkStart w:id="2" w:name="_Toc106627404"/>
      <w:r>
        <w:t>Hardware requirements</w:t>
      </w:r>
      <w:bookmarkEnd w:id="2"/>
      <w:r>
        <w:t xml:space="preserve"> </w:t>
      </w:r>
    </w:p>
    <w:p w14:paraId="2FABAB2E" w14:textId="77777777" w:rsidR="004066B1" w:rsidRDefault="00CF09B5">
      <w:pPr>
        <w:ind w:left="-5" w:right="121"/>
      </w:pPr>
      <w:r>
        <w:t xml:space="preserve">These minimum hardware requirements are based on test Pipeline runs with the 12 GB FASTQ files with 7 antibody tags: </w:t>
      </w:r>
    </w:p>
    <w:p w14:paraId="67D2DE4C" w14:textId="77777777" w:rsidR="004066B1" w:rsidRDefault="00CF09B5">
      <w:pPr>
        <w:spacing w:after="70" w:line="259" w:lineRule="auto"/>
        <w:ind w:left="0" w:right="0" w:firstLine="0"/>
      </w:pPr>
      <w:r>
        <w:t xml:space="preserve"> </w:t>
      </w:r>
    </w:p>
    <w:p w14:paraId="1FA6FA9B" w14:textId="77777777" w:rsidR="004066B1" w:rsidRDefault="00CF09B5">
      <w:pPr>
        <w:numPr>
          <w:ilvl w:val="0"/>
          <w:numId w:val="1"/>
        </w:numPr>
        <w:spacing w:after="181"/>
        <w:ind w:right="60" w:hanging="360"/>
      </w:pPr>
      <w:r>
        <w:rPr>
          <w:b/>
        </w:rPr>
        <w:t>CPU:</w:t>
      </w:r>
      <w:r>
        <w:t xml:space="preserve"> 16 CPU cores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t xml:space="preserve">  </w:t>
      </w:r>
    </w:p>
    <w:p w14:paraId="63E8BC7C" w14:textId="01FC0054" w:rsidR="00953315" w:rsidRDefault="00CF09B5">
      <w:pPr>
        <w:numPr>
          <w:ilvl w:val="0"/>
          <w:numId w:val="1"/>
        </w:numPr>
        <w:spacing w:after="137" w:line="265" w:lineRule="auto"/>
        <w:ind w:right="60" w:hanging="360"/>
      </w:pPr>
      <w:r>
        <w:rPr>
          <w:b/>
        </w:rPr>
        <w:t>Memory:</w:t>
      </w:r>
      <w:r>
        <w:t xml:space="preserve"> </w:t>
      </w:r>
      <w:r w:rsidR="00CF6176">
        <w:t>16</w:t>
      </w:r>
      <w:r>
        <w:t xml:space="preserve"> GB</w:t>
      </w:r>
      <w:r>
        <w:rPr>
          <w:rFonts w:ascii="Calibri" w:eastAsia="Calibri" w:hAnsi="Calibri" w:cs="Calibri"/>
        </w:rPr>
        <w:t>​</w:t>
      </w:r>
      <w:r w:rsidR="00CF6176">
        <w:rPr>
          <w:rFonts w:ascii="Calibri" w:eastAsia="Calibri" w:hAnsi="Calibri" w:cs="Calibri"/>
        </w:rPr>
        <w:t xml:space="preserve"> (32 GB if RNA-seq data is being analyzed)</w:t>
      </w:r>
    </w:p>
    <w:p w14:paraId="7293D961" w14:textId="77777777" w:rsidR="004066B1" w:rsidRDefault="00CF09B5">
      <w:pPr>
        <w:numPr>
          <w:ilvl w:val="0"/>
          <w:numId w:val="1"/>
        </w:numPr>
        <w:spacing w:after="137" w:line="265" w:lineRule="auto"/>
        <w:ind w:right="60" w:hanging="360"/>
      </w:pPr>
      <w:r>
        <w:rPr>
          <w:b/>
        </w:rPr>
        <w:t>Disk space:</w:t>
      </w:r>
      <w:r>
        <w:t xml:space="preserve"> 500 GB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t xml:space="preserve">  </w:t>
      </w:r>
    </w:p>
    <w:p w14:paraId="2D075381" w14:textId="77777777" w:rsidR="004066B1" w:rsidRDefault="00CF09B5">
      <w:pPr>
        <w:spacing w:after="27" w:line="259" w:lineRule="auto"/>
        <w:ind w:left="0" w:right="0" w:firstLine="0"/>
      </w:pPr>
      <w:r>
        <w:t xml:space="preserve"> </w:t>
      </w:r>
    </w:p>
    <w:p w14:paraId="0D1B39AF" w14:textId="77777777" w:rsidR="004066B1" w:rsidRDefault="00CF09B5">
      <w:pPr>
        <w:spacing w:after="593"/>
        <w:ind w:left="-5" w:right="121"/>
      </w:pPr>
      <w:r>
        <w:t xml:space="preserve">Note that hardware requirements are data-specific, with larger files requiring more resources. </w:t>
      </w:r>
    </w:p>
    <w:p w14:paraId="68809C6E" w14:textId="77777777" w:rsidR="004066B1" w:rsidRDefault="00CF09B5">
      <w:pPr>
        <w:pStyle w:val="Heading1"/>
        <w:spacing w:after="253"/>
        <w:ind w:left="-5"/>
      </w:pPr>
      <w:bookmarkStart w:id="3" w:name="_Toc106627405"/>
      <w:r>
        <w:t>Software requirements</w:t>
      </w:r>
      <w:bookmarkEnd w:id="3"/>
      <w:r>
        <w:t xml:space="preserve"> </w:t>
      </w:r>
    </w:p>
    <w:p w14:paraId="28FE0818" w14:textId="77777777" w:rsidR="004066B1" w:rsidRDefault="00CF09B5">
      <w:pPr>
        <w:pStyle w:val="Heading2"/>
        <w:spacing w:after="147"/>
        <w:ind w:left="-5"/>
      </w:pPr>
      <w:bookmarkStart w:id="4" w:name="_Toc106627406"/>
      <w:r>
        <w:rPr>
          <w:u w:val="single" w:color="434343"/>
        </w:rPr>
        <w:t>Supported operating systems</w:t>
      </w:r>
      <w:bookmarkEnd w:id="4"/>
      <w:r>
        <w:t xml:space="preserve"> </w:t>
      </w:r>
    </w:p>
    <w:p w14:paraId="50E8FD34" w14:textId="77777777" w:rsidR="00CF6176" w:rsidRDefault="00CF6176" w:rsidP="00CF6176">
      <w:pPr>
        <w:ind w:left="-5" w:right="121"/>
      </w:pPr>
      <w:r>
        <w:t>This script is likely to support any operating system that supports the following software packages:</w:t>
      </w:r>
    </w:p>
    <w:p w14:paraId="43C61933" w14:textId="77777777" w:rsidR="00CF6176" w:rsidRDefault="00CF6176" w:rsidP="00CF6176">
      <w:pPr>
        <w:pStyle w:val="ListParagraph"/>
        <w:numPr>
          <w:ilvl w:val="0"/>
          <w:numId w:val="9"/>
        </w:numPr>
        <w:ind w:right="121"/>
      </w:pPr>
      <w:r>
        <w:t xml:space="preserve">Kallisto, and </w:t>
      </w:r>
    </w:p>
    <w:p w14:paraId="2B8A2A0C" w14:textId="77777777" w:rsidR="00CF6176" w:rsidRDefault="00CF6176" w:rsidP="00CF6176">
      <w:pPr>
        <w:pStyle w:val="ListParagraph"/>
        <w:numPr>
          <w:ilvl w:val="0"/>
          <w:numId w:val="9"/>
        </w:numPr>
        <w:ind w:right="121"/>
      </w:pPr>
      <w:r>
        <w:t>Python 3.7 or above.</w:t>
      </w:r>
    </w:p>
    <w:p w14:paraId="75F953C3" w14:textId="5FBED26B" w:rsidR="004066B1" w:rsidRDefault="00CF6176" w:rsidP="00CF6176">
      <w:pPr>
        <w:ind w:left="0" w:right="121" w:firstLine="0"/>
      </w:pPr>
      <w:r>
        <w:t>Currently, only Linux (CentOS 7) has been tested.</w:t>
      </w:r>
      <w:r w:rsidR="00CF09B5">
        <w:t xml:space="preserve"> </w:t>
      </w:r>
    </w:p>
    <w:p w14:paraId="0E292739" w14:textId="77777777" w:rsidR="004066B1" w:rsidRDefault="00953315">
      <w:pPr>
        <w:pStyle w:val="Heading1"/>
        <w:spacing w:after="44"/>
        <w:ind w:left="-5"/>
      </w:pPr>
      <w:bookmarkStart w:id="5" w:name="_Toc106627407"/>
      <w:r>
        <w:lastRenderedPageBreak/>
        <w:t>Running</w:t>
      </w:r>
      <w:r w:rsidR="00CF09B5">
        <w:t xml:space="preserve"> the Pipeline</w:t>
      </w:r>
      <w:bookmarkEnd w:id="5"/>
      <w:r w:rsidR="00CF09B5">
        <w:t xml:space="preserve"> </w:t>
      </w:r>
    </w:p>
    <w:p w14:paraId="63644B18" w14:textId="54F7D155" w:rsidR="004066B1" w:rsidRDefault="00A80657">
      <w:pPr>
        <w:spacing w:after="469"/>
        <w:ind w:left="-5" w:right="121"/>
      </w:pPr>
      <w:r>
        <w:t>This pipeline allows the analyses of following types of features: protein or protein + RNA.</w:t>
      </w:r>
    </w:p>
    <w:p w14:paraId="1D398AA4" w14:textId="09BB7E89" w:rsidR="004066B1" w:rsidRDefault="00CF09B5" w:rsidP="00BE7862">
      <w:pPr>
        <w:pStyle w:val="Heading2"/>
      </w:pPr>
      <w:bookmarkStart w:id="6" w:name="_Toc106627408"/>
      <w:r>
        <w:t>Run</w:t>
      </w:r>
      <w:r w:rsidR="00590081">
        <w:t>ning</w:t>
      </w:r>
      <w:r>
        <w:t xml:space="preserve"> the Pipeline</w:t>
      </w:r>
      <w:bookmarkEnd w:id="6"/>
      <w:r>
        <w:t xml:space="preserve"> </w:t>
      </w:r>
    </w:p>
    <w:p w14:paraId="64A2FF34" w14:textId="63410B1A" w:rsidR="00B53E1C" w:rsidRDefault="00CF09B5" w:rsidP="00CF09B5">
      <w:pPr>
        <w:spacing w:after="0" w:line="410" w:lineRule="auto"/>
        <w:ind w:left="-5" w:right="121"/>
      </w:pPr>
      <w:r>
        <w:t xml:space="preserve">The </w:t>
      </w:r>
      <w:r w:rsidR="0020439B">
        <w:t>BEN-seq</w:t>
      </w:r>
      <w:r w:rsidR="00A26903">
        <w:t xml:space="preserve"> analysis pipeline</w:t>
      </w:r>
      <w:r>
        <w:t xml:space="preserve"> </w:t>
      </w:r>
      <w:r w:rsidR="0020439B">
        <w:t>performs quantificatio</w:t>
      </w:r>
      <w:r w:rsidR="00B53E1C">
        <w:t>n</w:t>
      </w:r>
      <w:r w:rsidR="0020439B">
        <w:t xml:space="preserve"> through benseq_cli_frontend.py.</w:t>
      </w:r>
      <w:r w:rsidR="00A80657">
        <w:t xml:space="preserve"> The main usage of the script is:</w:t>
      </w:r>
    </w:p>
    <w:p w14:paraId="5153E253" w14:textId="431C072E" w:rsidR="00A80657" w:rsidRDefault="00A80657" w:rsidP="00CF09B5">
      <w:pPr>
        <w:spacing w:after="0" w:line="410" w:lineRule="auto"/>
        <w:ind w:left="-5" w:right="121"/>
      </w:pPr>
      <w:r w:rsidRPr="003237A7">
        <w:rPr>
          <w:rFonts w:ascii="Consolas" w:hAnsi="Consolas"/>
          <w:color w:val="0070C0"/>
        </w:rPr>
        <w:t xml:space="preserve">python benseq_cli_frontend.py -r1 </w:t>
      </w:r>
      <w:r>
        <w:rPr>
          <w:rFonts w:ascii="Consolas" w:hAnsi="Consolas"/>
          <w:color w:val="0070C0"/>
        </w:rPr>
        <w:t xml:space="preserve">[RNA_R1_FASTQs separated by space] </w:t>
      </w:r>
      <w:r w:rsidRPr="003237A7">
        <w:rPr>
          <w:rFonts w:ascii="Consolas" w:hAnsi="Consolas"/>
          <w:color w:val="0070C0"/>
        </w:rPr>
        <w:t xml:space="preserve">-r2 </w:t>
      </w:r>
      <w:r>
        <w:rPr>
          <w:rFonts w:ascii="Consolas" w:hAnsi="Consolas"/>
          <w:color w:val="0070C0"/>
        </w:rPr>
        <w:t>[RNA_R2_FASTQs separated by space]</w:t>
      </w:r>
      <w:r w:rsidRPr="003237A7">
        <w:rPr>
          <w:rFonts w:ascii="Consolas" w:hAnsi="Consolas"/>
          <w:color w:val="0070C0"/>
        </w:rPr>
        <w:t xml:space="preserve"> -t </w:t>
      </w:r>
      <w:r>
        <w:rPr>
          <w:rFonts w:ascii="Consolas" w:hAnsi="Consolas"/>
          <w:color w:val="0070C0"/>
        </w:rPr>
        <w:t>[</w:t>
      </w:r>
      <w:proofErr w:type="spellStart"/>
      <w:r>
        <w:rPr>
          <w:rFonts w:ascii="Consolas" w:hAnsi="Consolas"/>
          <w:color w:val="0070C0"/>
        </w:rPr>
        <w:t>Kallisto</w:t>
      </w:r>
      <w:proofErr w:type="spellEnd"/>
      <w:r>
        <w:rPr>
          <w:rFonts w:ascii="Consolas" w:hAnsi="Consolas"/>
          <w:color w:val="0070C0"/>
        </w:rPr>
        <w:t xml:space="preserve"> transcriptome .</w:t>
      </w:r>
      <w:proofErr w:type="spellStart"/>
      <w:r>
        <w:rPr>
          <w:rFonts w:ascii="Consolas" w:hAnsi="Consolas"/>
          <w:color w:val="0070C0"/>
        </w:rPr>
        <w:t>idx</w:t>
      </w:r>
      <w:proofErr w:type="spellEnd"/>
      <w:r>
        <w:rPr>
          <w:rFonts w:ascii="Consolas" w:hAnsi="Consolas"/>
          <w:color w:val="0070C0"/>
        </w:rPr>
        <w:t>]</w:t>
      </w:r>
      <w:r w:rsidRPr="003237A7">
        <w:rPr>
          <w:rFonts w:ascii="Consolas" w:hAnsi="Consolas"/>
          <w:color w:val="0070C0"/>
        </w:rPr>
        <w:t xml:space="preserve"> -a1 </w:t>
      </w:r>
      <w:r>
        <w:rPr>
          <w:rFonts w:ascii="Consolas" w:hAnsi="Consolas"/>
          <w:color w:val="0070C0"/>
        </w:rPr>
        <w:t>[ADT_R1_FASTQs separated by space]</w:t>
      </w:r>
      <w:r w:rsidRPr="003237A7">
        <w:rPr>
          <w:rFonts w:ascii="Consolas" w:hAnsi="Consolas"/>
          <w:color w:val="0070C0"/>
        </w:rPr>
        <w:t xml:space="preserve"> -a2 </w:t>
      </w:r>
      <w:r>
        <w:rPr>
          <w:rFonts w:ascii="Consolas" w:hAnsi="Consolas"/>
          <w:color w:val="0070C0"/>
        </w:rPr>
        <w:t>[ADT_R2_FASTQs separated by space]</w:t>
      </w:r>
      <w:r w:rsidRPr="003237A7">
        <w:rPr>
          <w:rFonts w:ascii="Consolas" w:hAnsi="Consolas"/>
          <w:color w:val="0070C0"/>
        </w:rPr>
        <w:t xml:space="preserve"> -f </w:t>
      </w:r>
      <w:r>
        <w:rPr>
          <w:rFonts w:ascii="Consolas" w:hAnsi="Consolas"/>
          <w:color w:val="0070C0"/>
        </w:rPr>
        <w:t>[ADT feature CSV file]</w:t>
      </w:r>
      <w:r w:rsidRPr="003237A7">
        <w:rPr>
          <w:rFonts w:ascii="Consolas" w:hAnsi="Consolas"/>
          <w:color w:val="0070C0"/>
        </w:rPr>
        <w:t xml:space="preserve"> -o </w:t>
      </w:r>
      <w:proofErr w:type="spellStart"/>
      <w:r w:rsidRPr="003237A7">
        <w:rPr>
          <w:rFonts w:ascii="Consolas" w:hAnsi="Consolas"/>
          <w:color w:val="0070C0"/>
        </w:rPr>
        <w:t>output_folder</w:t>
      </w:r>
      <w:proofErr w:type="spellEnd"/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961"/>
      </w:tblGrid>
      <w:tr w:rsidR="00B53E1C" w14:paraId="6E22645B" w14:textId="77777777" w:rsidTr="003237A7">
        <w:trPr>
          <w:tblHeader/>
        </w:trPr>
        <w:tc>
          <w:tcPr>
            <w:tcW w:w="3510" w:type="dxa"/>
          </w:tcPr>
          <w:p w14:paraId="5C2550DF" w14:textId="77777777" w:rsidR="00B53E1C" w:rsidRDefault="00B53E1C" w:rsidP="00CF09B5">
            <w:pPr>
              <w:spacing w:after="0" w:line="410" w:lineRule="auto"/>
              <w:ind w:left="0" w:right="121" w:firstLine="0"/>
            </w:pPr>
            <w:r>
              <w:t>Argument</w:t>
            </w:r>
          </w:p>
        </w:tc>
        <w:tc>
          <w:tcPr>
            <w:tcW w:w="5961" w:type="dxa"/>
          </w:tcPr>
          <w:p w14:paraId="1E9C52D4" w14:textId="77777777" w:rsidR="00B53E1C" w:rsidRDefault="00B53E1C" w:rsidP="00CF09B5">
            <w:pPr>
              <w:spacing w:after="0" w:line="410" w:lineRule="auto"/>
              <w:ind w:left="0" w:right="121" w:firstLine="0"/>
            </w:pPr>
            <w:r>
              <w:t>Definition</w:t>
            </w:r>
          </w:p>
        </w:tc>
      </w:tr>
      <w:tr w:rsidR="00B53E1C" w14:paraId="49685374" w14:textId="77777777" w:rsidTr="003237A7">
        <w:trPr>
          <w:tblHeader/>
        </w:trPr>
        <w:tc>
          <w:tcPr>
            <w:tcW w:w="3510" w:type="dxa"/>
          </w:tcPr>
          <w:p w14:paraId="3870F2FE" w14:textId="77777777" w:rsidR="00B53E1C" w:rsidRPr="003237A7" w:rsidRDefault="00B53E1C" w:rsidP="00CF09B5">
            <w:pPr>
              <w:spacing w:after="0" w:line="410" w:lineRule="auto"/>
              <w:ind w:left="0" w:right="121" w:firstLine="0"/>
              <w:rPr>
                <w:rFonts w:ascii="Consolas" w:hAnsi="Consolas"/>
              </w:rPr>
            </w:pPr>
            <w:r w:rsidRPr="003237A7">
              <w:rPr>
                <w:rFonts w:ascii="Consolas" w:hAnsi="Consolas"/>
              </w:rPr>
              <w:t>-a1, --adt_r1_fastq</w:t>
            </w:r>
          </w:p>
        </w:tc>
        <w:tc>
          <w:tcPr>
            <w:tcW w:w="5961" w:type="dxa"/>
          </w:tcPr>
          <w:p w14:paraId="6026BE88" w14:textId="77777777" w:rsidR="00B53E1C" w:rsidRDefault="00B53E1C" w:rsidP="00CF09B5">
            <w:pPr>
              <w:spacing w:after="0" w:line="410" w:lineRule="auto"/>
              <w:ind w:left="0" w:right="121" w:firstLine="0"/>
            </w:pPr>
            <w:r>
              <w:t xml:space="preserve">Space-separated paths of first-read FASTQ file from the ADT libraries. </w:t>
            </w:r>
          </w:p>
        </w:tc>
      </w:tr>
      <w:tr w:rsidR="00B53E1C" w14:paraId="148CDB1B" w14:textId="77777777" w:rsidTr="003237A7">
        <w:trPr>
          <w:tblHeader/>
        </w:trPr>
        <w:tc>
          <w:tcPr>
            <w:tcW w:w="3510" w:type="dxa"/>
          </w:tcPr>
          <w:p w14:paraId="42566022" w14:textId="77777777" w:rsidR="00B53E1C" w:rsidRPr="003237A7" w:rsidRDefault="00B53E1C" w:rsidP="00CF09B5">
            <w:pPr>
              <w:spacing w:after="0" w:line="410" w:lineRule="auto"/>
              <w:ind w:left="0" w:right="121" w:firstLine="0"/>
              <w:rPr>
                <w:rFonts w:ascii="Consolas" w:hAnsi="Consolas"/>
              </w:rPr>
            </w:pPr>
            <w:r w:rsidRPr="003237A7">
              <w:rPr>
                <w:rFonts w:ascii="Consolas" w:hAnsi="Consolas"/>
              </w:rPr>
              <w:t>-a2, --adt_r2_fastq</w:t>
            </w:r>
          </w:p>
        </w:tc>
        <w:tc>
          <w:tcPr>
            <w:tcW w:w="5961" w:type="dxa"/>
          </w:tcPr>
          <w:p w14:paraId="06B2CDC6" w14:textId="77777777" w:rsidR="00B53E1C" w:rsidRDefault="00B53E1C" w:rsidP="00CF09B5">
            <w:pPr>
              <w:spacing w:after="0" w:line="410" w:lineRule="auto"/>
              <w:ind w:left="0" w:right="121" w:firstLine="0"/>
            </w:pPr>
            <w:r>
              <w:t>Space-separated paths of second-read FASTQ file from the ADT libraries.</w:t>
            </w:r>
          </w:p>
        </w:tc>
      </w:tr>
      <w:tr w:rsidR="00A80657" w14:paraId="517578B3" w14:textId="77777777" w:rsidTr="00FC5EB3">
        <w:trPr>
          <w:tblHeader/>
        </w:trPr>
        <w:tc>
          <w:tcPr>
            <w:tcW w:w="3510" w:type="dxa"/>
          </w:tcPr>
          <w:p w14:paraId="1854F796" w14:textId="77777777" w:rsidR="00A80657" w:rsidRPr="003237A7" w:rsidRDefault="00A80657" w:rsidP="00FC5EB3">
            <w:pPr>
              <w:spacing w:after="0" w:line="410" w:lineRule="auto"/>
              <w:ind w:left="0" w:right="121" w:firstLine="0"/>
              <w:rPr>
                <w:rFonts w:ascii="Consolas" w:hAnsi="Consolas"/>
              </w:rPr>
            </w:pPr>
            <w:r w:rsidRPr="003237A7">
              <w:rPr>
                <w:rFonts w:ascii="Consolas" w:hAnsi="Consolas"/>
              </w:rPr>
              <w:t>-f, --feature-reference</w:t>
            </w:r>
          </w:p>
        </w:tc>
        <w:tc>
          <w:tcPr>
            <w:tcW w:w="5961" w:type="dxa"/>
          </w:tcPr>
          <w:p w14:paraId="0EAB01EC" w14:textId="77777777" w:rsidR="00A80657" w:rsidRDefault="00A80657" w:rsidP="00FC5EB3">
            <w:pPr>
              <w:spacing w:after="0" w:line="410" w:lineRule="auto"/>
              <w:ind w:left="0" w:right="121" w:firstLine="0"/>
            </w:pPr>
            <w:r>
              <w:t xml:space="preserve">A comma-separated feature reference file in the same format as the input for </w:t>
            </w:r>
            <w:r w:rsidRPr="003237A7">
              <w:rPr>
                <w:rFonts w:ascii="Consolas" w:hAnsi="Consolas"/>
              </w:rPr>
              <w:t>--feature-ref</w:t>
            </w:r>
            <w:r>
              <w:t xml:space="preserve"> in Cell Ranger count. This can be generated on the BioLegend website using the Barcode Look-Up tool (</w:t>
            </w:r>
            <w:hyperlink r:id="rId8" w:history="1">
              <w:r w:rsidRPr="00C94A3D">
                <w:rPr>
                  <w:rStyle w:val="Hyperlink"/>
                </w:rPr>
                <w:t>https://www.biolegend.com/totalseq</w:t>
              </w:r>
            </w:hyperlink>
            <w:r>
              <w:t xml:space="preserve"> ) and export the selected markers using the “Export only selected items in Cell Ranger Format”.</w:t>
            </w:r>
          </w:p>
        </w:tc>
      </w:tr>
      <w:tr w:rsidR="00B53E1C" w14:paraId="7A71FD01" w14:textId="77777777" w:rsidTr="003237A7">
        <w:trPr>
          <w:tblHeader/>
        </w:trPr>
        <w:tc>
          <w:tcPr>
            <w:tcW w:w="3510" w:type="dxa"/>
          </w:tcPr>
          <w:p w14:paraId="7ABE5ACB" w14:textId="77777777" w:rsidR="00B53E1C" w:rsidRPr="003237A7" w:rsidRDefault="00B53E1C" w:rsidP="00B53E1C">
            <w:pPr>
              <w:spacing w:after="0" w:line="410" w:lineRule="auto"/>
              <w:ind w:left="0" w:right="121" w:firstLine="0"/>
              <w:rPr>
                <w:rFonts w:ascii="Consolas" w:hAnsi="Consolas"/>
              </w:rPr>
            </w:pPr>
            <w:r w:rsidRPr="003237A7">
              <w:rPr>
                <w:rFonts w:ascii="Consolas" w:hAnsi="Consolas"/>
              </w:rPr>
              <w:t>-r1, --rna_r1_fastq</w:t>
            </w:r>
          </w:p>
        </w:tc>
        <w:tc>
          <w:tcPr>
            <w:tcW w:w="5961" w:type="dxa"/>
          </w:tcPr>
          <w:p w14:paraId="73AE2297" w14:textId="77777777" w:rsidR="00B53E1C" w:rsidRDefault="00B53E1C" w:rsidP="00B53E1C">
            <w:pPr>
              <w:spacing w:after="0" w:line="410" w:lineRule="auto"/>
              <w:ind w:left="0" w:right="121" w:firstLine="0"/>
            </w:pPr>
            <w:r>
              <w:t xml:space="preserve">Space-separated paths of first-read FASTQ file from the RNA libraries. </w:t>
            </w:r>
          </w:p>
        </w:tc>
      </w:tr>
      <w:tr w:rsidR="00B53E1C" w14:paraId="2BF149EE" w14:textId="77777777" w:rsidTr="003237A7">
        <w:trPr>
          <w:tblHeader/>
        </w:trPr>
        <w:tc>
          <w:tcPr>
            <w:tcW w:w="3510" w:type="dxa"/>
          </w:tcPr>
          <w:p w14:paraId="0203FCD6" w14:textId="77777777" w:rsidR="00B53E1C" w:rsidRPr="003237A7" w:rsidRDefault="00B53E1C" w:rsidP="00B53E1C">
            <w:pPr>
              <w:spacing w:after="0" w:line="410" w:lineRule="auto"/>
              <w:ind w:left="0" w:right="121" w:firstLine="0"/>
              <w:rPr>
                <w:rFonts w:ascii="Consolas" w:hAnsi="Consolas"/>
              </w:rPr>
            </w:pPr>
            <w:r w:rsidRPr="003237A7">
              <w:rPr>
                <w:rFonts w:ascii="Consolas" w:hAnsi="Consolas"/>
              </w:rPr>
              <w:t>-r2, --rna_r2_fastq</w:t>
            </w:r>
          </w:p>
        </w:tc>
        <w:tc>
          <w:tcPr>
            <w:tcW w:w="5961" w:type="dxa"/>
          </w:tcPr>
          <w:p w14:paraId="6E075FC0" w14:textId="77777777" w:rsidR="00B53E1C" w:rsidRDefault="00B53E1C" w:rsidP="00B53E1C">
            <w:pPr>
              <w:spacing w:after="0" w:line="410" w:lineRule="auto"/>
              <w:ind w:left="0" w:right="121" w:firstLine="0"/>
            </w:pPr>
            <w:r>
              <w:t>Space-separated paths of second-read FASTQ file from the RNA libraries.</w:t>
            </w:r>
          </w:p>
        </w:tc>
      </w:tr>
      <w:tr w:rsidR="00B53E1C" w14:paraId="3383A944" w14:textId="77777777" w:rsidTr="003237A7">
        <w:trPr>
          <w:tblHeader/>
        </w:trPr>
        <w:tc>
          <w:tcPr>
            <w:tcW w:w="3510" w:type="dxa"/>
          </w:tcPr>
          <w:p w14:paraId="5B267826" w14:textId="74453189" w:rsidR="00B53E1C" w:rsidRPr="003237A7" w:rsidRDefault="003237A7" w:rsidP="00CF09B5">
            <w:pPr>
              <w:spacing w:after="0" w:line="410" w:lineRule="auto"/>
              <w:ind w:left="0" w:right="121" w:firstLine="0"/>
              <w:rPr>
                <w:rFonts w:ascii="Consolas" w:hAnsi="Consolas"/>
              </w:rPr>
            </w:pPr>
            <w:r w:rsidRPr="003237A7">
              <w:rPr>
                <w:rFonts w:ascii="Consolas" w:hAnsi="Consolas"/>
              </w:rPr>
              <w:t>-t, --</w:t>
            </w:r>
            <w:proofErr w:type="spellStart"/>
            <w:r w:rsidRPr="003237A7">
              <w:rPr>
                <w:rFonts w:ascii="Consolas" w:hAnsi="Consolas"/>
              </w:rPr>
              <w:t>transcriptom</w:t>
            </w:r>
            <w:r w:rsidR="00F972F2">
              <w:rPr>
                <w:rFonts w:ascii="Consolas" w:hAnsi="Consolas"/>
              </w:rPr>
              <w:t>e</w:t>
            </w:r>
            <w:r w:rsidRPr="003237A7">
              <w:rPr>
                <w:rFonts w:ascii="Consolas" w:hAnsi="Consolas"/>
              </w:rPr>
              <w:t>_index</w:t>
            </w:r>
            <w:proofErr w:type="spellEnd"/>
          </w:p>
        </w:tc>
        <w:tc>
          <w:tcPr>
            <w:tcW w:w="5961" w:type="dxa"/>
          </w:tcPr>
          <w:p w14:paraId="6DDC3254" w14:textId="77777777" w:rsidR="00B53E1C" w:rsidRDefault="003237A7" w:rsidP="00CF09B5">
            <w:pPr>
              <w:spacing w:after="0" w:line="410" w:lineRule="auto"/>
              <w:ind w:left="0" w:right="121" w:firstLine="0"/>
            </w:pPr>
            <w:r w:rsidRPr="003237A7">
              <w:t xml:space="preserve">A </w:t>
            </w:r>
            <w:proofErr w:type="spellStart"/>
            <w:r w:rsidRPr="003237A7">
              <w:t>Kallisto</w:t>
            </w:r>
            <w:proofErr w:type="spellEnd"/>
            <w:r w:rsidRPr="003237A7">
              <w:t xml:space="preserve"> .</w:t>
            </w:r>
            <w:proofErr w:type="spellStart"/>
            <w:r w:rsidRPr="003237A7">
              <w:t>idx</w:t>
            </w:r>
            <w:proofErr w:type="spellEnd"/>
            <w:r w:rsidRPr="003237A7">
              <w:t xml:space="preserve"> index for the species used in RNA.</w:t>
            </w:r>
          </w:p>
        </w:tc>
      </w:tr>
      <w:tr w:rsidR="00B53E1C" w14:paraId="12368383" w14:textId="77777777" w:rsidTr="003237A7">
        <w:trPr>
          <w:tblHeader/>
        </w:trPr>
        <w:tc>
          <w:tcPr>
            <w:tcW w:w="3510" w:type="dxa"/>
          </w:tcPr>
          <w:p w14:paraId="5D016D25" w14:textId="77777777" w:rsidR="00B53E1C" w:rsidRPr="003237A7" w:rsidRDefault="003237A7" w:rsidP="00CF09B5">
            <w:pPr>
              <w:spacing w:after="0" w:line="410" w:lineRule="auto"/>
              <w:ind w:left="0" w:right="121" w:firstLine="0"/>
              <w:rPr>
                <w:rFonts w:ascii="Consolas" w:hAnsi="Consolas"/>
              </w:rPr>
            </w:pPr>
            <w:r w:rsidRPr="003237A7">
              <w:rPr>
                <w:rFonts w:ascii="Consolas" w:hAnsi="Consolas"/>
              </w:rPr>
              <w:t>-I, --</w:t>
            </w:r>
            <w:proofErr w:type="spellStart"/>
            <w:r w:rsidRPr="003237A7">
              <w:rPr>
                <w:rFonts w:ascii="Consolas" w:hAnsi="Consolas"/>
              </w:rPr>
              <w:t>output_directory</w:t>
            </w:r>
            <w:proofErr w:type="spellEnd"/>
          </w:p>
        </w:tc>
        <w:tc>
          <w:tcPr>
            <w:tcW w:w="5961" w:type="dxa"/>
          </w:tcPr>
          <w:p w14:paraId="1AC4FD4F" w14:textId="77777777" w:rsidR="00B53E1C" w:rsidRDefault="003237A7" w:rsidP="00CF09B5">
            <w:pPr>
              <w:spacing w:after="0" w:line="410" w:lineRule="auto"/>
              <w:ind w:left="0" w:right="121" w:firstLine="0"/>
            </w:pPr>
            <w:r>
              <w:t>The directory where the results should be written to.</w:t>
            </w:r>
          </w:p>
        </w:tc>
      </w:tr>
    </w:tbl>
    <w:p w14:paraId="505FFAD3" w14:textId="77777777" w:rsidR="00B53E1C" w:rsidRDefault="00B53E1C" w:rsidP="00CF09B5">
      <w:pPr>
        <w:spacing w:after="0" w:line="410" w:lineRule="auto"/>
        <w:ind w:left="-5" w:right="121"/>
      </w:pPr>
    </w:p>
    <w:p w14:paraId="0D266060" w14:textId="77777777" w:rsidR="004066B1" w:rsidRPr="00CF09B5" w:rsidRDefault="0020439B" w:rsidP="00CF09B5">
      <w:pPr>
        <w:spacing w:after="0" w:line="410" w:lineRule="auto"/>
        <w:ind w:left="-5" w:right="121"/>
      </w:pPr>
      <w:r>
        <w:t>The following is an example to demonstrate its arguments</w:t>
      </w:r>
      <w:r w:rsidR="00CF09B5">
        <w:t xml:space="preserve">: </w:t>
      </w:r>
    </w:p>
    <w:p w14:paraId="144BEFAF" w14:textId="28767A77" w:rsidR="004066B1" w:rsidRPr="003237A7" w:rsidRDefault="00CF09B5" w:rsidP="00CF09B5">
      <w:pPr>
        <w:spacing w:after="103" w:line="259" w:lineRule="auto"/>
        <w:ind w:left="720" w:right="0" w:firstLine="0"/>
        <w:rPr>
          <w:rFonts w:ascii="Consolas" w:hAnsi="Consolas"/>
          <w:color w:val="0070C0"/>
        </w:rPr>
      </w:pPr>
      <w:r w:rsidRPr="003237A7">
        <w:rPr>
          <w:rFonts w:ascii="Consolas" w:hAnsi="Consolas"/>
          <w:color w:val="0070C0"/>
        </w:rPr>
        <w:lastRenderedPageBreak/>
        <w:t xml:space="preserve">python </w:t>
      </w:r>
      <w:bookmarkStart w:id="7" w:name="_Hlk80955897"/>
      <w:r w:rsidR="0020439B" w:rsidRPr="003237A7">
        <w:rPr>
          <w:rFonts w:ascii="Consolas" w:hAnsi="Consolas"/>
          <w:color w:val="0070C0"/>
        </w:rPr>
        <w:t>benseq_cli_frontend</w:t>
      </w:r>
      <w:r w:rsidRPr="003237A7">
        <w:rPr>
          <w:rFonts w:ascii="Consolas" w:hAnsi="Consolas"/>
          <w:color w:val="0070C0"/>
        </w:rPr>
        <w:t>.py</w:t>
      </w:r>
      <w:bookmarkEnd w:id="7"/>
      <w:r w:rsidRPr="003237A7">
        <w:rPr>
          <w:rFonts w:ascii="Consolas" w:hAnsi="Consolas"/>
          <w:color w:val="0070C0"/>
        </w:rPr>
        <w:t xml:space="preserve"> -</w:t>
      </w:r>
      <w:r w:rsidR="0020439B" w:rsidRPr="003237A7">
        <w:rPr>
          <w:rFonts w:ascii="Consolas" w:hAnsi="Consolas"/>
          <w:color w:val="0070C0"/>
        </w:rPr>
        <w:t>r1</w:t>
      </w:r>
      <w:r w:rsidRPr="003237A7">
        <w:rPr>
          <w:rFonts w:ascii="Consolas" w:hAnsi="Consolas"/>
          <w:color w:val="0070C0"/>
        </w:rPr>
        <w:t xml:space="preserve"> </w:t>
      </w:r>
      <w:r w:rsidR="0020439B" w:rsidRPr="003237A7">
        <w:rPr>
          <w:rFonts w:ascii="Consolas" w:hAnsi="Consolas"/>
          <w:color w:val="0070C0"/>
        </w:rPr>
        <w:t>Sample_RNA_</w:t>
      </w:r>
      <w:r w:rsidR="00564ECC">
        <w:rPr>
          <w:rFonts w:ascii="Consolas" w:hAnsi="Consolas"/>
          <w:color w:val="0070C0"/>
        </w:rPr>
        <w:t>L001_</w:t>
      </w:r>
      <w:r w:rsidR="0020439B" w:rsidRPr="003237A7">
        <w:rPr>
          <w:rFonts w:ascii="Consolas" w:hAnsi="Consolas"/>
          <w:color w:val="0070C0"/>
        </w:rPr>
        <w:t>R1.fastq.gz Sample_RNA_</w:t>
      </w:r>
      <w:r w:rsidR="00564ECC">
        <w:rPr>
          <w:rFonts w:ascii="Consolas" w:hAnsi="Consolas"/>
          <w:color w:val="0070C0"/>
        </w:rPr>
        <w:t>L002_</w:t>
      </w:r>
      <w:r w:rsidR="0020439B" w:rsidRPr="003237A7">
        <w:rPr>
          <w:rFonts w:ascii="Consolas" w:hAnsi="Consolas"/>
          <w:color w:val="0070C0"/>
        </w:rPr>
        <w:t>R1.fastq.gz -r2 Sample_RNA_</w:t>
      </w:r>
      <w:r w:rsidR="00564ECC">
        <w:rPr>
          <w:rFonts w:ascii="Consolas" w:hAnsi="Consolas"/>
          <w:color w:val="0070C0"/>
        </w:rPr>
        <w:t>L001_</w:t>
      </w:r>
      <w:r w:rsidR="0020439B" w:rsidRPr="003237A7">
        <w:rPr>
          <w:rFonts w:ascii="Consolas" w:hAnsi="Consolas"/>
          <w:color w:val="0070C0"/>
        </w:rPr>
        <w:t>R2.fastq.gz Sample_RNA_</w:t>
      </w:r>
      <w:r w:rsidR="00564ECC">
        <w:rPr>
          <w:rFonts w:ascii="Consolas" w:hAnsi="Consolas"/>
          <w:color w:val="0070C0"/>
        </w:rPr>
        <w:t>L002_</w:t>
      </w:r>
      <w:r w:rsidR="0020439B" w:rsidRPr="003237A7">
        <w:rPr>
          <w:rFonts w:ascii="Consolas" w:hAnsi="Consolas"/>
          <w:color w:val="0070C0"/>
        </w:rPr>
        <w:t>R2.fastq.gz</w:t>
      </w:r>
      <w:r w:rsidRPr="003237A7">
        <w:rPr>
          <w:rFonts w:ascii="Consolas" w:hAnsi="Consolas"/>
          <w:color w:val="0070C0"/>
        </w:rPr>
        <w:t xml:space="preserve"> </w:t>
      </w:r>
      <w:r w:rsidR="0020439B" w:rsidRPr="003237A7">
        <w:rPr>
          <w:rFonts w:ascii="Consolas" w:hAnsi="Consolas"/>
          <w:color w:val="0070C0"/>
        </w:rPr>
        <w:t>-a1 Sample_ADT_</w:t>
      </w:r>
      <w:r w:rsidR="00564ECC">
        <w:rPr>
          <w:rFonts w:ascii="Consolas" w:hAnsi="Consolas"/>
          <w:color w:val="0070C0"/>
        </w:rPr>
        <w:t>L001_</w:t>
      </w:r>
      <w:r w:rsidR="0020439B" w:rsidRPr="003237A7">
        <w:rPr>
          <w:rFonts w:ascii="Consolas" w:hAnsi="Consolas"/>
          <w:color w:val="0070C0"/>
        </w:rPr>
        <w:t>R1.fastq.gz Sample_ADT_</w:t>
      </w:r>
      <w:r w:rsidR="00564ECC">
        <w:rPr>
          <w:rFonts w:ascii="Consolas" w:hAnsi="Consolas"/>
          <w:color w:val="0070C0"/>
        </w:rPr>
        <w:t>L002_</w:t>
      </w:r>
      <w:r w:rsidR="0020439B" w:rsidRPr="003237A7">
        <w:rPr>
          <w:rFonts w:ascii="Consolas" w:hAnsi="Consolas"/>
          <w:color w:val="0070C0"/>
        </w:rPr>
        <w:t>R1.fastq.gz -a2 Sample_ADT_</w:t>
      </w:r>
      <w:r w:rsidR="00564ECC">
        <w:rPr>
          <w:rFonts w:ascii="Consolas" w:hAnsi="Consolas"/>
          <w:color w:val="0070C0"/>
        </w:rPr>
        <w:t>L001_</w:t>
      </w:r>
      <w:r w:rsidR="0020439B" w:rsidRPr="003237A7">
        <w:rPr>
          <w:rFonts w:ascii="Consolas" w:hAnsi="Consolas"/>
          <w:color w:val="0070C0"/>
        </w:rPr>
        <w:t>R2.fastq.gz Sample_ADT_</w:t>
      </w:r>
      <w:r w:rsidR="00564ECC">
        <w:rPr>
          <w:rFonts w:ascii="Consolas" w:hAnsi="Consolas"/>
          <w:color w:val="0070C0"/>
        </w:rPr>
        <w:t>L002_</w:t>
      </w:r>
      <w:r w:rsidR="0020439B" w:rsidRPr="003237A7">
        <w:rPr>
          <w:rFonts w:ascii="Consolas" w:hAnsi="Consolas"/>
          <w:color w:val="0070C0"/>
        </w:rPr>
        <w:t xml:space="preserve">R2.fastq.gz </w:t>
      </w:r>
      <w:r w:rsidRPr="003237A7">
        <w:rPr>
          <w:rFonts w:ascii="Consolas" w:hAnsi="Consolas"/>
          <w:color w:val="0070C0"/>
        </w:rPr>
        <w:t>-</w:t>
      </w:r>
      <w:r w:rsidR="0020439B" w:rsidRPr="003237A7">
        <w:rPr>
          <w:rFonts w:ascii="Consolas" w:hAnsi="Consolas"/>
          <w:color w:val="0070C0"/>
        </w:rPr>
        <w:t>t</w:t>
      </w:r>
      <w:r w:rsidRPr="003237A7">
        <w:rPr>
          <w:rFonts w:ascii="Consolas" w:hAnsi="Consolas"/>
          <w:color w:val="0070C0"/>
        </w:rPr>
        <w:t xml:space="preserve"> </w:t>
      </w:r>
      <w:proofErr w:type="spellStart"/>
      <w:r w:rsidR="0020439B" w:rsidRPr="003237A7">
        <w:rPr>
          <w:rFonts w:ascii="Consolas" w:hAnsi="Consolas"/>
          <w:color w:val="0070C0"/>
        </w:rPr>
        <w:t>transcriptome.idx</w:t>
      </w:r>
      <w:proofErr w:type="spellEnd"/>
      <w:r w:rsidR="0020439B" w:rsidRPr="003237A7">
        <w:rPr>
          <w:rFonts w:ascii="Consolas" w:hAnsi="Consolas"/>
          <w:color w:val="0070C0"/>
        </w:rPr>
        <w:t xml:space="preserve"> -f </w:t>
      </w:r>
      <w:bookmarkStart w:id="8" w:name="_Hlk80878468"/>
      <w:r w:rsidR="0020439B" w:rsidRPr="003237A7">
        <w:rPr>
          <w:rFonts w:ascii="Consolas" w:hAnsi="Consolas"/>
          <w:color w:val="0070C0"/>
        </w:rPr>
        <w:t>totalseqCellRangerExperiment.csv</w:t>
      </w:r>
      <w:r w:rsidRPr="003237A7">
        <w:rPr>
          <w:rFonts w:ascii="Consolas" w:hAnsi="Consolas"/>
          <w:color w:val="0070C0"/>
        </w:rPr>
        <w:t xml:space="preserve"> </w:t>
      </w:r>
      <w:bookmarkEnd w:id="8"/>
      <w:r w:rsidRPr="003237A7">
        <w:rPr>
          <w:rFonts w:ascii="Consolas" w:hAnsi="Consolas"/>
          <w:color w:val="0070C0"/>
        </w:rPr>
        <w:t xml:space="preserve">-o </w:t>
      </w:r>
      <w:proofErr w:type="spellStart"/>
      <w:r w:rsidRPr="003237A7">
        <w:rPr>
          <w:rFonts w:ascii="Consolas" w:hAnsi="Consolas"/>
          <w:color w:val="0070C0"/>
        </w:rPr>
        <w:t>output_folder</w:t>
      </w:r>
      <w:proofErr w:type="spellEnd"/>
      <w:r w:rsidRPr="003237A7">
        <w:rPr>
          <w:rFonts w:ascii="Consolas" w:hAnsi="Consolas"/>
          <w:color w:val="0070C0"/>
        </w:rPr>
        <w:t xml:space="preserve">  </w:t>
      </w:r>
    </w:p>
    <w:p w14:paraId="4036D7E1" w14:textId="35F0299E" w:rsidR="00B53E1C" w:rsidRDefault="00A918B7" w:rsidP="00B53E1C">
      <w:pPr>
        <w:spacing w:after="120"/>
        <w:ind w:left="-5" w:right="121"/>
      </w:pPr>
      <w:r>
        <w:t xml:space="preserve">The example above assumes </w:t>
      </w:r>
      <w:r w:rsidR="00DA6925">
        <w:t xml:space="preserve">a sample </w:t>
      </w:r>
      <w:r w:rsidR="00564ECC">
        <w:t>called “Sample”</w:t>
      </w:r>
      <w:r w:rsidR="0076634A">
        <w:t xml:space="preserve"> </w:t>
      </w:r>
      <w:r w:rsidR="00564ECC">
        <w:t>with</w:t>
      </w:r>
      <w:r w:rsidR="0076634A">
        <w:t xml:space="preserve"> both RNA and ADT libraries</w:t>
      </w:r>
      <w:r w:rsidR="00DA6925">
        <w:t>,</w:t>
      </w:r>
      <w:r w:rsidR="00564ECC">
        <w:t xml:space="preserve"> and sequenced in two Illumina lanes</w:t>
      </w:r>
      <w:r w:rsidR="00BE7862">
        <w:t>.</w:t>
      </w:r>
      <w:r w:rsidR="00DA6925">
        <w:t xml:space="preserve"> </w:t>
      </w:r>
      <w:r w:rsidR="003237A7">
        <w:t xml:space="preserve">The RNA data is to be quantified with the index file </w:t>
      </w:r>
      <w:proofErr w:type="spellStart"/>
      <w:r w:rsidR="003237A7">
        <w:t>transcriptome.idx</w:t>
      </w:r>
      <w:proofErr w:type="spellEnd"/>
      <w:r w:rsidR="003237A7">
        <w:t xml:space="preserve">, the ADT data is to be quantified using the features in </w:t>
      </w:r>
      <w:r w:rsidR="003237A7" w:rsidRPr="003237A7">
        <w:t>totalseqCellRangerExperiment.csv</w:t>
      </w:r>
      <w:r w:rsidR="003237A7">
        <w:t xml:space="preserve">, and the results of both will be written to </w:t>
      </w:r>
      <w:proofErr w:type="spellStart"/>
      <w:r w:rsidR="003237A7">
        <w:t>output_folder</w:t>
      </w:r>
      <w:proofErr w:type="spellEnd"/>
      <w:r w:rsidR="003237A7">
        <w:t>.</w:t>
      </w:r>
    </w:p>
    <w:p w14:paraId="13049B46" w14:textId="396CED41" w:rsidR="00BE7862" w:rsidRDefault="003237A7">
      <w:pPr>
        <w:spacing w:after="120"/>
        <w:ind w:left="-5" w:right="121"/>
      </w:pPr>
      <w:r>
        <w:t xml:space="preserve">The RNA steps will only be run when -r1, -r2 and -t are populated; </w:t>
      </w:r>
      <w:r w:rsidR="00CF6176">
        <w:t>similarly,</w:t>
      </w:r>
      <w:r>
        <w:t xml:space="preserve"> the ADT steps will only be run when -a1, -a2 and -f are populated</w:t>
      </w:r>
      <w:r w:rsidR="00C02DEE">
        <w:t>.</w:t>
      </w:r>
    </w:p>
    <w:p w14:paraId="32C57950" w14:textId="77777777" w:rsidR="004066B1" w:rsidRDefault="00CF09B5" w:rsidP="00C63785">
      <w:pPr>
        <w:pStyle w:val="Heading3"/>
      </w:pPr>
      <w:bookmarkStart w:id="9" w:name="_Toc106627409"/>
      <w:r>
        <w:t>Pipeline output</w:t>
      </w:r>
      <w:bookmarkEnd w:id="9"/>
      <w:r>
        <w:t xml:space="preserve"> </w:t>
      </w:r>
    </w:p>
    <w:p w14:paraId="5CCBC455" w14:textId="77777777" w:rsidR="004066B1" w:rsidRDefault="00EC03A8">
      <w:pPr>
        <w:spacing w:after="0" w:line="410" w:lineRule="auto"/>
        <w:ind w:left="-5" w:right="121"/>
      </w:pPr>
      <w:r>
        <w:t xml:space="preserve">Depending on whether the ADT and the RNA quantification pipelines are </w:t>
      </w:r>
      <w:proofErr w:type="gramStart"/>
      <w:r>
        <w:t>ran</w:t>
      </w:r>
      <w:proofErr w:type="gramEnd"/>
      <w:r>
        <w:t>, the pipeline creates the subdirectories ADT and/or RNA in the output folder. Both directories have the same structure, differing only on the nature of the quantified features:</w:t>
      </w:r>
    </w:p>
    <w:p w14:paraId="1037DBA8" w14:textId="77777777" w:rsidR="004066B1" w:rsidRDefault="00CF09B5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360" w:type="dxa"/>
        <w:tblInd w:w="6" w:type="dxa"/>
        <w:tblCellMar>
          <w:top w:w="162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1876"/>
        <w:gridCol w:w="7484"/>
      </w:tblGrid>
      <w:tr w:rsidR="004066B1" w14:paraId="5CAABF05" w14:textId="77777777" w:rsidTr="00442581">
        <w:trPr>
          <w:trHeight w:val="495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9F2694A" w14:textId="77777777" w:rsidR="004066B1" w:rsidRDefault="00CF09B5">
            <w:pPr>
              <w:spacing w:after="0" w:line="259" w:lineRule="auto"/>
              <w:ind w:left="2" w:right="0" w:firstLine="0"/>
            </w:pPr>
            <w:r>
              <w:t xml:space="preserve">File name 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3BE0AA1" w14:textId="77777777" w:rsidR="004066B1" w:rsidRDefault="00CF09B5">
            <w:pPr>
              <w:spacing w:after="0" w:line="259" w:lineRule="auto"/>
              <w:ind w:left="0" w:right="0" w:firstLine="0"/>
            </w:pPr>
            <w:r>
              <w:t xml:space="preserve">Description </w:t>
            </w:r>
          </w:p>
        </w:tc>
      </w:tr>
      <w:tr w:rsidR="004066B1" w14:paraId="0C71CAE8" w14:textId="77777777" w:rsidTr="00442581">
        <w:trPr>
          <w:trHeight w:val="588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F876" w14:textId="77777777" w:rsidR="004066B1" w:rsidRPr="00442581" w:rsidRDefault="00EC03A8">
            <w:pPr>
              <w:spacing w:after="0" w:line="259" w:lineRule="auto"/>
              <w:ind w:left="2" w:right="0" w:firstLine="0"/>
              <w:rPr>
                <w:rFonts w:ascii="Consolas" w:hAnsi="Consolas"/>
              </w:rPr>
            </w:pPr>
            <w:r w:rsidRPr="00442581">
              <w:rPr>
                <w:rFonts w:ascii="Consolas" w:hAnsi="Consolas"/>
              </w:rPr>
              <w:t>abundance.h5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91F2" w14:textId="77777777" w:rsidR="004066B1" w:rsidRDefault="00EC03A8" w:rsidP="00C63785">
            <w:pPr>
              <w:spacing w:after="0" w:line="259" w:lineRule="auto"/>
              <w:ind w:left="0" w:right="0" w:firstLine="0"/>
            </w:pPr>
            <w:r>
              <w:t>A</w:t>
            </w:r>
            <w:r w:rsidRPr="00EC03A8">
              <w:t xml:space="preserve"> HDF5 binary file containing run info, abundance estimates, bootstrap estimates, and transcript length information length.</w:t>
            </w:r>
          </w:p>
        </w:tc>
      </w:tr>
      <w:tr w:rsidR="004066B1" w14:paraId="2A7899C7" w14:textId="77777777" w:rsidTr="00442581">
        <w:trPr>
          <w:trHeight w:val="363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DF88" w14:textId="77777777" w:rsidR="004066B1" w:rsidRPr="00442581" w:rsidRDefault="00EC03A8">
            <w:pPr>
              <w:spacing w:after="0" w:line="259" w:lineRule="auto"/>
              <w:ind w:left="2" w:right="0" w:firstLine="0"/>
              <w:rPr>
                <w:rFonts w:ascii="Consolas" w:hAnsi="Consolas"/>
              </w:rPr>
            </w:pPr>
            <w:proofErr w:type="spellStart"/>
            <w:r w:rsidRPr="00442581">
              <w:rPr>
                <w:rFonts w:ascii="Consolas" w:hAnsi="Consolas"/>
              </w:rPr>
              <w:t>abundance.tsv</w:t>
            </w:r>
            <w:proofErr w:type="spellEnd"/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0F32" w14:textId="77777777" w:rsidR="004066B1" w:rsidRDefault="00EC03A8" w:rsidP="00C63785">
            <w:pPr>
              <w:spacing w:after="0" w:line="259" w:lineRule="auto"/>
              <w:ind w:left="0" w:right="0" w:firstLine="0"/>
            </w:pPr>
            <w:r>
              <w:t>A tab-separated text representation of abundance.h5.</w:t>
            </w:r>
          </w:p>
        </w:tc>
      </w:tr>
      <w:tr w:rsidR="004066B1" w14:paraId="701B2566" w14:textId="77777777" w:rsidTr="00442581">
        <w:trPr>
          <w:trHeight w:val="363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2C00" w14:textId="77777777" w:rsidR="004066B1" w:rsidRPr="00442581" w:rsidRDefault="00EC03A8">
            <w:pPr>
              <w:spacing w:after="0" w:line="259" w:lineRule="auto"/>
              <w:ind w:left="0" w:right="0" w:firstLine="0"/>
              <w:rPr>
                <w:rFonts w:ascii="Consolas" w:hAnsi="Consolas"/>
              </w:rPr>
            </w:pPr>
            <w:proofErr w:type="spellStart"/>
            <w:r w:rsidRPr="00442581">
              <w:rPr>
                <w:rFonts w:ascii="Consolas" w:hAnsi="Consolas"/>
              </w:rPr>
              <w:t>run_info.json</w:t>
            </w:r>
            <w:proofErr w:type="spellEnd"/>
            <w:r w:rsidR="00CF09B5" w:rsidRPr="00442581">
              <w:rPr>
                <w:rFonts w:ascii="Consolas" w:hAnsi="Consolas"/>
              </w:rPr>
              <w:t xml:space="preserve"> 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EB7E" w14:textId="77777777" w:rsidR="00460A68" w:rsidRPr="00460A68" w:rsidRDefault="00EC03A8" w:rsidP="00C63785">
            <w:pPr>
              <w:spacing w:after="0" w:line="259" w:lineRule="auto"/>
              <w:ind w:left="0" w:right="0" w:firstLine="0"/>
              <w:rPr>
                <w:color w:val="auto"/>
              </w:rPr>
            </w:pPr>
            <w:r>
              <w:t>A JSON file containing run statistics.</w:t>
            </w:r>
          </w:p>
        </w:tc>
      </w:tr>
    </w:tbl>
    <w:p w14:paraId="512FC308" w14:textId="47794A86" w:rsidR="00B94DFB" w:rsidRDefault="00B94DFB">
      <w:pPr>
        <w:spacing w:after="27" w:line="259" w:lineRule="auto"/>
        <w:ind w:left="0" w:right="0" w:firstLine="0"/>
      </w:pPr>
    </w:p>
    <w:p w14:paraId="132CCAFA" w14:textId="2E32910E" w:rsidR="00442581" w:rsidRDefault="00442581">
      <w:pPr>
        <w:spacing w:after="27" w:line="259" w:lineRule="auto"/>
        <w:ind w:left="0" w:right="0" w:firstLine="0"/>
      </w:pPr>
      <w:r>
        <w:t xml:space="preserve">For more details regarding these files, or Kallisto in general, please visit the authors’ website at </w:t>
      </w:r>
      <w:hyperlink r:id="rId9" w:history="1">
        <w:r w:rsidRPr="00C94A3D">
          <w:rPr>
            <w:rStyle w:val="Hyperlink"/>
          </w:rPr>
          <w:t>https://pachterlab.github.io/kallisto</w:t>
        </w:r>
      </w:hyperlink>
      <w:r>
        <w:t xml:space="preserve"> .</w:t>
      </w:r>
    </w:p>
    <w:p w14:paraId="45D6DA64" w14:textId="77777777" w:rsidR="00442581" w:rsidRDefault="00442581">
      <w:pPr>
        <w:spacing w:after="27" w:line="259" w:lineRule="auto"/>
        <w:ind w:left="0" w:right="0" w:firstLine="0"/>
      </w:pPr>
    </w:p>
    <w:p w14:paraId="5C76B815" w14:textId="1B3A8A90" w:rsidR="004066B1" w:rsidRDefault="00B94DFB">
      <w:pPr>
        <w:spacing w:after="27" w:line="259" w:lineRule="auto"/>
        <w:ind w:left="0" w:right="0" w:firstLine="0"/>
      </w:pPr>
      <w:r>
        <w:t xml:space="preserve">This script also generates </w:t>
      </w:r>
      <w:r w:rsidR="00442581">
        <w:t xml:space="preserve">its log as </w:t>
      </w:r>
      <w:proofErr w:type="spellStart"/>
      <w:r w:rsidR="00442581" w:rsidRPr="00442581">
        <w:rPr>
          <w:rFonts w:ascii="Consolas" w:hAnsi="Consolas"/>
        </w:rPr>
        <w:t>output_folder</w:t>
      </w:r>
      <w:proofErr w:type="spellEnd"/>
      <w:r w:rsidR="00442581" w:rsidRPr="00442581">
        <w:rPr>
          <w:rFonts w:ascii="Consolas" w:hAnsi="Consolas"/>
        </w:rPr>
        <w:t>/ben_seq.log</w:t>
      </w:r>
      <w:r w:rsidR="00442581">
        <w:t>.</w:t>
      </w:r>
      <w:r w:rsidR="00CF09B5">
        <w:t xml:space="preserve"> </w:t>
      </w:r>
    </w:p>
    <w:p w14:paraId="0AF6B44F" w14:textId="58B970B0" w:rsidR="00182337" w:rsidRDefault="00182337" w:rsidP="00182337">
      <w:pPr>
        <w:pStyle w:val="Heading3"/>
      </w:pPr>
      <w:bookmarkStart w:id="10" w:name="_Toc106627410"/>
      <w:r>
        <w:t>Downstream Analyses</w:t>
      </w:r>
      <w:bookmarkEnd w:id="10"/>
    </w:p>
    <w:p w14:paraId="5D24E4C1" w14:textId="77777777" w:rsidR="004E4B0E" w:rsidRPr="004E4B0E" w:rsidRDefault="004E4B0E" w:rsidP="004E4B0E"/>
    <w:p w14:paraId="2C7CCE9C" w14:textId="132B22C0" w:rsidR="00182337" w:rsidRPr="00182337" w:rsidRDefault="00312CCA" w:rsidP="00182337">
      <w:r>
        <w:t>In our experience the bulk ADT data requires different dispersion from the RNA data, even from the same sample. Thus, while we have successfully appl</w:t>
      </w:r>
      <w:r w:rsidR="00564ECC">
        <w:t>ied</w:t>
      </w:r>
      <w:r>
        <w:t xml:space="preserve"> standard RNA-seq differential expression methods on bulk ADT data, it is recommended that the ADT data to be analyzed separately from the RNA data.</w:t>
      </w:r>
    </w:p>
    <w:p w14:paraId="5C96F68E" w14:textId="77777777" w:rsidR="00460A68" w:rsidRDefault="00460A68" w:rsidP="00460A68">
      <w:pPr>
        <w:ind w:left="0" w:firstLine="0"/>
      </w:pPr>
    </w:p>
    <w:p w14:paraId="267D9A07" w14:textId="77777777" w:rsidR="00460A68" w:rsidRDefault="00460A68" w:rsidP="00460A68">
      <w:pPr>
        <w:ind w:left="0" w:firstLine="0"/>
      </w:pPr>
    </w:p>
    <w:sectPr w:rsidR="00460A68">
      <w:footerReference w:type="even" r:id="rId10"/>
      <w:footerReference w:type="default" r:id="rId11"/>
      <w:footerReference w:type="first" r:id="rId12"/>
      <w:pgSz w:w="12240" w:h="15840"/>
      <w:pgMar w:top="1440" w:right="1319" w:bottom="1448" w:left="1440" w:header="72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40C97" w14:textId="77777777" w:rsidR="00C067CE" w:rsidRDefault="00C067CE">
      <w:pPr>
        <w:spacing w:after="0" w:line="240" w:lineRule="auto"/>
      </w:pPr>
      <w:r>
        <w:separator/>
      </w:r>
    </w:p>
  </w:endnote>
  <w:endnote w:type="continuationSeparator" w:id="0">
    <w:p w14:paraId="03C6CF7B" w14:textId="77777777" w:rsidR="00C067CE" w:rsidRDefault="00C0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3D59" w14:textId="77777777" w:rsidR="00CF09B5" w:rsidRDefault="00CF09B5">
    <w:pPr>
      <w:spacing w:after="0" w:line="259" w:lineRule="auto"/>
      <w:ind w:left="0" w:right="144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D36D8" w14:textId="77777777" w:rsidR="00CF09B5" w:rsidRDefault="00CF09B5">
    <w:pPr>
      <w:spacing w:after="0" w:line="259" w:lineRule="auto"/>
      <w:ind w:left="0" w:right="144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3C38B" w14:textId="77777777" w:rsidR="00CF09B5" w:rsidRDefault="00CF09B5">
    <w:pPr>
      <w:spacing w:after="0" w:line="259" w:lineRule="auto"/>
      <w:ind w:left="0" w:right="144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73A03" w14:textId="77777777" w:rsidR="00C067CE" w:rsidRDefault="00C067CE">
      <w:pPr>
        <w:spacing w:after="0" w:line="240" w:lineRule="auto"/>
      </w:pPr>
      <w:r>
        <w:separator/>
      </w:r>
    </w:p>
  </w:footnote>
  <w:footnote w:type="continuationSeparator" w:id="0">
    <w:p w14:paraId="60BEEFBA" w14:textId="77777777" w:rsidR="00C067CE" w:rsidRDefault="00C0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657"/>
    <w:multiLevelType w:val="hybridMultilevel"/>
    <w:tmpl w:val="A99078D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28820AB"/>
    <w:multiLevelType w:val="hybridMultilevel"/>
    <w:tmpl w:val="C2A2722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5465046"/>
    <w:multiLevelType w:val="hybridMultilevel"/>
    <w:tmpl w:val="CD387DB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79B3CC7"/>
    <w:multiLevelType w:val="hybridMultilevel"/>
    <w:tmpl w:val="CA88688E"/>
    <w:lvl w:ilvl="0" w:tplc="B0F66F0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9ED34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83E9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837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C9C5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44D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463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ABF1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8D38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A6149A"/>
    <w:multiLevelType w:val="hybridMultilevel"/>
    <w:tmpl w:val="F9A24608"/>
    <w:lvl w:ilvl="0" w:tplc="329E650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94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96FEE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877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C984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4315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CC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EAA5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6A42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9368E9"/>
    <w:multiLevelType w:val="hybridMultilevel"/>
    <w:tmpl w:val="FAB817A0"/>
    <w:lvl w:ilvl="0" w:tplc="CB86909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3416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E0381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AD4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AF29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263BB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56AA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0FD0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DE5EF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F41F60"/>
    <w:multiLevelType w:val="hybridMultilevel"/>
    <w:tmpl w:val="CE3C5154"/>
    <w:lvl w:ilvl="0" w:tplc="827AF79A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7C1E82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C5C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CCB45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6C5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8089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2362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E6ED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347B7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BC04F5"/>
    <w:multiLevelType w:val="hybridMultilevel"/>
    <w:tmpl w:val="C2E44AB8"/>
    <w:lvl w:ilvl="0" w:tplc="C17E753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AA9EE">
      <w:start w:val="1"/>
      <w:numFmt w:val="bullet"/>
      <w:lvlText w:val="o"/>
      <w:lvlJc w:val="left"/>
      <w:pPr>
        <w:ind w:left="2025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AC0FE">
      <w:start w:val="1"/>
      <w:numFmt w:val="bullet"/>
      <w:lvlText w:val="▪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2A5EAA">
      <w:start w:val="1"/>
      <w:numFmt w:val="bullet"/>
      <w:lvlText w:val="•"/>
      <w:lvlJc w:val="left"/>
      <w:pPr>
        <w:ind w:left="3465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AD226">
      <w:start w:val="1"/>
      <w:numFmt w:val="bullet"/>
      <w:lvlText w:val="o"/>
      <w:lvlJc w:val="left"/>
      <w:pPr>
        <w:ind w:left="4185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E0E20E">
      <w:start w:val="1"/>
      <w:numFmt w:val="bullet"/>
      <w:lvlText w:val="▪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C218D2">
      <w:start w:val="1"/>
      <w:numFmt w:val="bullet"/>
      <w:lvlText w:val="•"/>
      <w:lvlJc w:val="left"/>
      <w:pPr>
        <w:ind w:left="5625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07070">
      <w:start w:val="1"/>
      <w:numFmt w:val="bullet"/>
      <w:lvlText w:val="o"/>
      <w:lvlJc w:val="left"/>
      <w:pPr>
        <w:ind w:left="6345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00C46">
      <w:start w:val="1"/>
      <w:numFmt w:val="bullet"/>
      <w:lvlText w:val="▪"/>
      <w:lvlJc w:val="left"/>
      <w:pPr>
        <w:ind w:left="7065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49149C"/>
    <w:multiLevelType w:val="hybridMultilevel"/>
    <w:tmpl w:val="C59C97F6"/>
    <w:lvl w:ilvl="0" w:tplc="2BDAC85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CF4E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6222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A09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2D6C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AD45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C3E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48AE2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E2946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B1"/>
    <w:rsid w:val="00060A65"/>
    <w:rsid w:val="0017170D"/>
    <w:rsid w:val="00182337"/>
    <w:rsid w:val="0018345D"/>
    <w:rsid w:val="0020439B"/>
    <w:rsid w:val="00312CCA"/>
    <w:rsid w:val="003237A7"/>
    <w:rsid w:val="003B25F6"/>
    <w:rsid w:val="004066B1"/>
    <w:rsid w:val="00411AEC"/>
    <w:rsid w:val="00412594"/>
    <w:rsid w:val="00442581"/>
    <w:rsid w:val="00460A68"/>
    <w:rsid w:val="004E4B0E"/>
    <w:rsid w:val="00517C6E"/>
    <w:rsid w:val="00564ECC"/>
    <w:rsid w:val="0056736B"/>
    <w:rsid w:val="00590081"/>
    <w:rsid w:val="005927B8"/>
    <w:rsid w:val="0076634A"/>
    <w:rsid w:val="00791501"/>
    <w:rsid w:val="0082348E"/>
    <w:rsid w:val="009074C2"/>
    <w:rsid w:val="00915C5D"/>
    <w:rsid w:val="00953315"/>
    <w:rsid w:val="009E3BCF"/>
    <w:rsid w:val="00A26903"/>
    <w:rsid w:val="00A80657"/>
    <w:rsid w:val="00A918B7"/>
    <w:rsid w:val="00A9396F"/>
    <w:rsid w:val="00B53E1C"/>
    <w:rsid w:val="00B61B1B"/>
    <w:rsid w:val="00B94DFB"/>
    <w:rsid w:val="00BE7862"/>
    <w:rsid w:val="00C02DEE"/>
    <w:rsid w:val="00C067CE"/>
    <w:rsid w:val="00C145DC"/>
    <w:rsid w:val="00C63785"/>
    <w:rsid w:val="00CC1BBA"/>
    <w:rsid w:val="00CF09B5"/>
    <w:rsid w:val="00CF6176"/>
    <w:rsid w:val="00DA6925"/>
    <w:rsid w:val="00EC03A8"/>
    <w:rsid w:val="00F972F2"/>
    <w:rsid w:val="00FC5EB3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C165"/>
  <w15:docId w15:val="{1B207818-90ED-4340-9233-13429333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2" w:line="264" w:lineRule="auto"/>
      <w:ind w:left="10" w:right="23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7"/>
      <w:ind w:left="10" w:hanging="10"/>
      <w:outlineLvl w:val="1"/>
    </w:pPr>
    <w:rPr>
      <w:rFonts w:ascii="Arial" w:eastAsia="Arial" w:hAnsi="Arial" w:cs="Arial"/>
      <w:b/>
      <w:color w:val="434343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7"/>
      <w:ind w:left="10" w:hanging="10"/>
      <w:outlineLvl w:val="2"/>
    </w:pPr>
    <w:rPr>
      <w:rFonts w:ascii="Arial" w:eastAsia="Arial" w:hAnsi="Arial" w:cs="Arial"/>
      <w:b/>
      <w:color w:val="434343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4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434343"/>
      <w:sz w:val="28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434343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53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315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A2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E59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460A68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60A68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460A6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0A68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7915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9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9B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9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legend.com/totalse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chterlab.github.io/kallis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4BB9-9AB1-47BD-8D1E-60BCC097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 Shi</dc:creator>
  <cp:keywords/>
  <dc:description/>
  <cp:lastModifiedBy>Shannon Forbes</cp:lastModifiedBy>
  <cp:revision>2</cp:revision>
  <dcterms:created xsi:type="dcterms:W3CDTF">2022-06-21T00:19:00Z</dcterms:created>
  <dcterms:modified xsi:type="dcterms:W3CDTF">2022-06-21T00:19:00Z</dcterms:modified>
</cp:coreProperties>
</file>